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9E" w:rsidRDefault="00435582">
      <w:r w:rsidRPr="00435582">
        <w:drawing>
          <wp:inline distT="0" distB="0" distL="0" distR="0">
            <wp:extent cx="6381750" cy="3076575"/>
            <wp:effectExtent l="19050" t="0" r="19050" b="0"/>
            <wp:docPr id="20" name="Gra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F2F44" w:rsidRDefault="006F2F44"/>
    <w:p w:rsidR="006F2F44" w:rsidRDefault="00435582">
      <w:r w:rsidRPr="00435582">
        <w:drawing>
          <wp:inline distT="0" distB="0" distL="0" distR="0">
            <wp:extent cx="6381750" cy="4200525"/>
            <wp:effectExtent l="19050" t="0" r="19050" b="0"/>
            <wp:docPr id="22" name="Gra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5960" w:rsidRDefault="00885960"/>
    <w:p w:rsidR="00885960" w:rsidRDefault="00885960">
      <w:r w:rsidRPr="00885960">
        <w:rPr>
          <w:noProof/>
          <w:lang w:eastAsia="it-IT"/>
        </w:rPr>
        <w:drawing>
          <wp:inline distT="0" distB="0" distL="0" distR="0">
            <wp:extent cx="6200775" cy="2847975"/>
            <wp:effectExtent l="19050" t="0" r="9525" b="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3013"/>
        <w:gridCol w:w="960"/>
        <w:gridCol w:w="960"/>
        <w:gridCol w:w="960"/>
        <w:gridCol w:w="960"/>
      </w:tblGrid>
      <w:tr w:rsidR="00435582" w:rsidRPr="00435582" w:rsidTr="00435582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LEGENDA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 xml:space="preserve">SERVIZI ISTITUZIONALI, GENERALI E </w:t>
            </w:r>
            <w:proofErr w:type="spellStart"/>
            <w:r w:rsidRPr="00435582">
              <w:rPr>
                <w:rFonts w:eastAsia="Times New Roman"/>
                <w:color w:val="000000"/>
                <w:lang w:eastAsia="it-IT"/>
              </w:rPr>
              <w:t>DI</w:t>
            </w:r>
            <w:proofErr w:type="spellEnd"/>
            <w:r w:rsidRPr="00435582">
              <w:rPr>
                <w:rFonts w:eastAsia="Times New Roman"/>
                <w:color w:val="000000"/>
                <w:lang w:eastAsia="it-IT"/>
              </w:rPr>
              <w:t xml:space="preserve"> GESTIONE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GIUSTIZIA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ORDINE PUBBLICO E SICUREZZA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ISTRUZIONE E DIRITTO ALLO STUDIO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TUTELA E VALORIZZAZIONER DEI BENI E ATTIVITA' CULTURALI</w:t>
            </w: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POLITICHE GIOVANILI. SPORT E TEMPO LIBERO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TURISMO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ASSETTO DEL TERRITORIO ED EDILIZIA ABITATIVA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SVILUPPO SOSTENIBILE E TUTELA DEL TERRITORIO E DELL'AMBIENTE</w:t>
            </w: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TRASPORTI E DIRITTO ALLA MOBILITA'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SOCCORSO CIVILE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DIRITTI SOCIALI, POLITICHE SOCIALI E FAMIGLIA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ENERGIA E DIVERSIFICAZIONE DELLE FONTI ENERGETICHE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50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DEBITO PUBBLICO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60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ANTICIPAZIONI FINANZIARIE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99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5582">
              <w:rPr>
                <w:rFonts w:eastAsia="Times New Roman"/>
                <w:color w:val="000000"/>
                <w:lang w:eastAsia="it-IT"/>
              </w:rPr>
              <w:t>SERVIZI PER CONTO TERZI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435582" w:rsidRPr="00435582" w:rsidTr="0043558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2" w:rsidRPr="00435582" w:rsidRDefault="00435582" w:rsidP="0043558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435582" w:rsidRDefault="00435582"/>
    <w:p w:rsidR="00435582" w:rsidRDefault="00435582"/>
    <w:p w:rsidR="00435582" w:rsidRDefault="00435582"/>
    <w:p w:rsidR="00435582" w:rsidRDefault="00435582"/>
    <w:p w:rsidR="00435582" w:rsidRDefault="00435582"/>
    <w:p w:rsidR="00435582" w:rsidRDefault="00435582"/>
    <w:p w:rsidR="00435582" w:rsidRDefault="00435582"/>
    <w:p w:rsidR="00435582" w:rsidRDefault="00435582"/>
    <w:p w:rsidR="00885960" w:rsidRDefault="00435582">
      <w:r w:rsidRPr="00435582">
        <w:lastRenderedPageBreak/>
        <w:drawing>
          <wp:inline distT="0" distB="0" distL="0" distR="0">
            <wp:extent cx="6381750" cy="3867150"/>
            <wp:effectExtent l="19050" t="0" r="19050" b="0"/>
            <wp:docPr id="24" name="Gra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5960" w:rsidRDefault="00885960"/>
    <w:p w:rsidR="00885960" w:rsidRDefault="00885960"/>
    <w:p w:rsidR="00885960" w:rsidRDefault="00885960"/>
    <w:p w:rsidR="008F7A06" w:rsidRDefault="000377AF">
      <w:r w:rsidRPr="000377AF">
        <w:drawing>
          <wp:inline distT="0" distB="0" distL="0" distR="0">
            <wp:extent cx="6120130" cy="3641882"/>
            <wp:effectExtent l="19050" t="0" r="13970" b="0"/>
            <wp:docPr id="26" name="Gra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5816" w:rsidRDefault="00165816">
      <w:r w:rsidRPr="00165816">
        <w:rPr>
          <w:noProof/>
          <w:lang w:eastAsia="it-IT"/>
        </w:rPr>
        <w:lastRenderedPageBreak/>
        <w:drawing>
          <wp:inline distT="0" distB="0" distL="0" distR="0">
            <wp:extent cx="6120130" cy="3651428"/>
            <wp:effectExtent l="19050" t="0" r="13970" b="6172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7E49" w:rsidRDefault="00AD7E49">
      <w:r w:rsidRPr="00AD7E49">
        <w:rPr>
          <w:noProof/>
          <w:lang w:eastAsia="it-IT"/>
        </w:rPr>
        <w:drawing>
          <wp:inline distT="0" distB="0" distL="0" distR="0">
            <wp:extent cx="6120130" cy="4000500"/>
            <wp:effectExtent l="19050" t="0" r="1397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D7E49" w:rsidSect="0043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87BF9"/>
    <w:rsid w:val="000377AF"/>
    <w:rsid w:val="00165816"/>
    <w:rsid w:val="00220A7D"/>
    <w:rsid w:val="003E3D9E"/>
    <w:rsid w:val="00435582"/>
    <w:rsid w:val="006F2F44"/>
    <w:rsid w:val="007831BA"/>
    <w:rsid w:val="00787BF9"/>
    <w:rsid w:val="00885960"/>
    <w:rsid w:val="008F7A06"/>
    <w:rsid w:val="00A709FE"/>
    <w:rsid w:val="00AD7E49"/>
    <w:rsid w:val="00C80961"/>
    <w:rsid w:val="00FD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D9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F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RENDICONTO%20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RENDICONTO%20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nrico.facchin\Desktop\GRAFICI\RENDICONTO%20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RENDICONTO%20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RENDICONTO%20201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nrico.facchin\Desktop\GRAFICI\RENDICONTO%202015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nrico.facchin\Desktop\GRAFICI\RENDICONTO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CONSUNTIVO ANNO 2015</a:t>
            </a:r>
          </a:p>
          <a:p>
            <a:pPr>
              <a:defRPr/>
            </a:pPr>
            <a:r>
              <a:rPr lang="en-US"/>
              <a:t> PER TITOLI DI ENTRATA</a:t>
            </a:r>
            <a:r>
              <a:rPr lang="it-IT" sz="1800" b="1" i="0" u="none" strike="noStrike" baseline="0"/>
              <a:t> 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Foglio1!$A$4:$A$9</c:f>
              <c:strCache>
                <c:ptCount val="1"/>
                <c:pt idx="0">
                  <c:v>CORRENTI TRASFERIMENTI EXTRATRIBUTARIE C/CAPITALE ANTIC.TESORERIA PARTITE DI GIRO</c:v>
                </c:pt>
              </c:strCache>
            </c:strRef>
          </c:tx>
          <c:cat>
            <c:strRef>
              <c:f>Foglio1!$A$4:$A$9</c:f>
              <c:strCache>
                <c:ptCount val="6"/>
                <c:pt idx="0">
                  <c:v>CORRENTI</c:v>
                </c:pt>
                <c:pt idx="1">
                  <c:v>TRASFERIMENTI</c:v>
                </c:pt>
                <c:pt idx="2">
                  <c:v>EXTRATRIBUTARIE</c:v>
                </c:pt>
                <c:pt idx="3">
                  <c:v>C/CAPITALE</c:v>
                </c:pt>
                <c:pt idx="4">
                  <c:v>ANTIC.TESORERIA</c:v>
                </c:pt>
                <c:pt idx="5">
                  <c:v>PARTITE DI GIRO</c:v>
                </c:pt>
              </c:strCache>
            </c:strRef>
          </c:cat>
          <c:val>
            <c:numRef>
              <c:f>Foglio1!$B$4:$B$9</c:f>
              <c:numCache>
                <c:formatCode>#,##0.00</c:formatCode>
                <c:ptCount val="6"/>
                <c:pt idx="0">
                  <c:v>2735914.73</c:v>
                </c:pt>
                <c:pt idx="1">
                  <c:v>240148.43</c:v>
                </c:pt>
                <c:pt idx="2">
                  <c:v>1461729.54</c:v>
                </c:pt>
                <c:pt idx="3">
                  <c:v>877421.89</c:v>
                </c:pt>
                <c:pt idx="4">
                  <c:v>0</c:v>
                </c:pt>
                <c:pt idx="5">
                  <c:v>788818.01</c:v>
                </c:pt>
              </c:numCache>
            </c:numRef>
          </c:val>
        </c:ser>
        <c:axId val="149041152"/>
        <c:axId val="149043072"/>
      </c:barChart>
      <c:catAx>
        <c:axId val="149041152"/>
        <c:scaling>
          <c:orientation val="minMax"/>
        </c:scaling>
        <c:axPos val="b"/>
        <c:numFmt formatCode="General" sourceLinked="1"/>
        <c:tickLblPos val="nextTo"/>
        <c:crossAx val="149043072"/>
        <c:crosses val="autoZero"/>
        <c:auto val="1"/>
        <c:lblAlgn val="ctr"/>
        <c:lblOffset val="100"/>
      </c:catAx>
      <c:valAx>
        <c:axId val="149043072"/>
        <c:scaling>
          <c:orientation val="minMax"/>
        </c:scaling>
        <c:axPos val="l"/>
        <c:majorGridlines/>
        <c:numFmt formatCode="#,##0.00" sourceLinked="1"/>
        <c:tickLblPos val="nextTo"/>
        <c:crossAx val="14904115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CONSUNTIVO ANNO 2015</a:t>
            </a:r>
          </a:p>
          <a:p>
            <a:pPr>
              <a:defRPr/>
            </a:pPr>
            <a:r>
              <a:rPr lang="en-US"/>
              <a:t>PER TITOLI DI SPESA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9847462817147854"/>
          <c:y val="0.24541195281624278"/>
          <c:w val="0.76541426071741037"/>
          <c:h val="0.40942166711919631"/>
        </c:manualLayout>
      </c:layout>
      <c:barChart>
        <c:barDir val="col"/>
        <c:grouping val="clustered"/>
        <c:ser>
          <c:idx val="0"/>
          <c:order val="0"/>
          <c:tx>
            <c:strRef>
              <c:f>Foglio1!$A$34:$A$39</c:f>
              <c:strCache>
                <c:ptCount val="1"/>
                <c:pt idx="0">
                  <c:v>CORRENTI C/CAPITALE INC.ATT.FINANZIARIE RIMB. PRESTITI ANTICIP.TESORERIA PARTITE DI GIRO</c:v>
                </c:pt>
              </c:strCache>
            </c:strRef>
          </c:tx>
          <c:cat>
            <c:strRef>
              <c:f>Foglio1!$A$34:$A$39</c:f>
              <c:strCache>
                <c:ptCount val="6"/>
                <c:pt idx="0">
                  <c:v>CORRENTI</c:v>
                </c:pt>
                <c:pt idx="1">
                  <c:v>C/CAPITALE</c:v>
                </c:pt>
                <c:pt idx="2">
                  <c:v>INC.ATT.FINANZIARIE</c:v>
                </c:pt>
                <c:pt idx="3">
                  <c:v>RIMB. PRESTITI</c:v>
                </c:pt>
                <c:pt idx="4">
                  <c:v>ANTICIP.TESORERIA</c:v>
                </c:pt>
                <c:pt idx="5">
                  <c:v>PARTITE DI GIRO</c:v>
                </c:pt>
              </c:strCache>
            </c:strRef>
          </c:cat>
          <c:val>
            <c:numRef>
              <c:f>Foglio1!$B$34:$B$39</c:f>
              <c:numCache>
                <c:formatCode>#,##0.00</c:formatCode>
                <c:ptCount val="6"/>
                <c:pt idx="0">
                  <c:v>4439240.9400000004</c:v>
                </c:pt>
                <c:pt idx="1">
                  <c:v>456578.81</c:v>
                </c:pt>
                <c:pt idx="2">
                  <c:v>0</c:v>
                </c:pt>
                <c:pt idx="3">
                  <c:v>208417.25</c:v>
                </c:pt>
                <c:pt idx="4">
                  <c:v>0</c:v>
                </c:pt>
                <c:pt idx="5">
                  <c:v>788818.01</c:v>
                </c:pt>
              </c:numCache>
            </c:numRef>
          </c:val>
        </c:ser>
        <c:axId val="146839040"/>
        <c:axId val="149062784"/>
      </c:barChart>
      <c:catAx>
        <c:axId val="146839040"/>
        <c:scaling>
          <c:orientation val="minMax"/>
        </c:scaling>
        <c:axPos val="b"/>
        <c:numFmt formatCode="General" sourceLinked="1"/>
        <c:tickLblPos val="nextTo"/>
        <c:crossAx val="149062784"/>
        <c:crosses val="autoZero"/>
        <c:auto val="1"/>
        <c:lblAlgn val="ctr"/>
        <c:lblOffset val="100"/>
      </c:catAx>
      <c:valAx>
        <c:axId val="149062784"/>
        <c:scaling>
          <c:orientation val="minMax"/>
        </c:scaling>
        <c:axPos val="l"/>
        <c:majorGridlines/>
        <c:numFmt formatCode="#,##0.00" sourceLinked="1"/>
        <c:tickLblPos val="nextTo"/>
        <c:crossAx val="14683904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CONSUNTIVO ANNO 2015</a:t>
            </a:r>
          </a:p>
          <a:p>
            <a:pPr>
              <a:defRPr/>
            </a:pPr>
            <a:r>
              <a:rPr lang="en-US"/>
              <a:t>PER MISSIONI DI SPESA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Foglio1!$A$153:$A$168</c:f>
              <c:strCache>
                <c:ptCount val="1"/>
                <c:pt idx="0">
                  <c:v>1 2 3 4 5 6 7 8 9 10 11 12 17 50 60 99</c:v>
                </c:pt>
              </c:strCache>
            </c:strRef>
          </c:tx>
          <c:cat>
            <c:numRef>
              <c:f>Foglio1!$A$153:$A$168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17</c:v>
                </c:pt>
                <c:pt idx="13">
                  <c:v>50</c:v>
                </c:pt>
                <c:pt idx="14">
                  <c:v>60</c:v>
                </c:pt>
                <c:pt idx="15">
                  <c:v>99</c:v>
                </c:pt>
              </c:numCache>
            </c:numRef>
          </c:cat>
          <c:val>
            <c:numRef>
              <c:f>Foglio1!$B$153:$B$168</c:f>
              <c:numCache>
                <c:formatCode>#,##0.00</c:formatCode>
                <c:ptCount val="16"/>
                <c:pt idx="0">
                  <c:v>1669779.56</c:v>
                </c:pt>
                <c:pt idx="1">
                  <c:v>26.84</c:v>
                </c:pt>
                <c:pt idx="2">
                  <c:v>118673.95</c:v>
                </c:pt>
                <c:pt idx="3">
                  <c:v>335824.27</c:v>
                </c:pt>
                <c:pt idx="4">
                  <c:v>92189.759999999995</c:v>
                </c:pt>
                <c:pt idx="5">
                  <c:v>191762.88999999998</c:v>
                </c:pt>
                <c:pt idx="6">
                  <c:v>48545</c:v>
                </c:pt>
                <c:pt idx="7">
                  <c:v>8643.82</c:v>
                </c:pt>
                <c:pt idx="8">
                  <c:v>1003547.22</c:v>
                </c:pt>
                <c:pt idx="9">
                  <c:v>452442.67</c:v>
                </c:pt>
                <c:pt idx="10">
                  <c:v>29571.37</c:v>
                </c:pt>
                <c:pt idx="11">
                  <c:v>944812.4</c:v>
                </c:pt>
                <c:pt idx="12">
                  <c:v>0</c:v>
                </c:pt>
                <c:pt idx="13">
                  <c:v>208417.25</c:v>
                </c:pt>
                <c:pt idx="14">
                  <c:v>0</c:v>
                </c:pt>
                <c:pt idx="15">
                  <c:v>788818.01</c:v>
                </c:pt>
              </c:numCache>
            </c:numRef>
          </c:val>
        </c:ser>
        <c:axId val="106734336"/>
        <c:axId val="106968960"/>
      </c:barChart>
      <c:catAx>
        <c:axId val="106734336"/>
        <c:scaling>
          <c:orientation val="minMax"/>
        </c:scaling>
        <c:axPos val="b"/>
        <c:numFmt formatCode="General" sourceLinked="1"/>
        <c:tickLblPos val="nextTo"/>
        <c:crossAx val="106968960"/>
        <c:crosses val="autoZero"/>
        <c:auto val="1"/>
        <c:lblAlgn val="ctr"/>
        <c:lblOffset val="100"/>
      </c:catAx>
      <c:valAx>
        <c:axId val="106968960"/>
        <c:scaling>
          <c:orientation val="minMax"/>
        </c:scaling>
        <c:axPos val="l"/>
        <c:majorGridlines/>
        <c:numFmt formatCode="#,##0.00" sourceLinked="1"/>
        <c:tickLblPos val="nextTo"/>
        <c:crossAx val="10673433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CONSUNTIVO ANNO 2015 </a:t>
            </a:r>
          </a:p>
          <a:p>
            <a:pPr>
              <a:defRPr/>
            </a:pPr>
            <a:r>
              <a:rPr lang="en-US"/>
              <a:t>RISULTATO DI AMMINISTRAZIONE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587691764717416"/>
          <c:y val="0.24664020571264325"/>
          <c:w val="0.81840451101528888"/>
          <c:h val="0.72871842248164376"/>
        </c:manualLayout>
      </c:layout>
      <c:barChart>
        <c:barDir val="col"/>
        <c:grouping val="clustered"/>
        <c:ser>
          <c:idx val="0"/>
          <c:order val="0"/>
          <c:tx>
            <c:strRef>
              <c:f>Foglio1!$A$127:$A$135</c:f>
              <c:strCache>
                <c:ptCount val="1"/>
                <c:pt idx="0">
                  <c:v>CASSA AL 01/01/2015 RISCOSSIONI PAGAMENTI CASSA AL 31/12/2015 RESIDUI ATTIVI RESIDUI PASSIVI FPV SPESE CORRENTI FPV SPESE CONTO CAPITALE AVANZO DI AMMINISTRAZIONE</c:v>
                </c:pt>
              </c:strCache>
            </c:strRef>
          </c:tx>
          <c:cat>
            <c:strRef>
              <c:f>Foglio1!$A$127:$A$135</c:f>
              <c:strCache>
                <c:ptCount val="9"/>
                <c:pt idx="0">
                  <c:v>CASSA AL 01/01/2015</c:v>
                </c:pt>
                <c:pt idx="1">
                  <c:v>RISCOSSIONI</c:v>
                </c:pt>
                <c:pt idx="2">
                  <c:v>PAGAMENTI</c:v>
                </c:pt>
                <c:pt idx="3">
                  <c:v>CASSA AL 31/12/2015</c:v>
                </c:pt>
                <c:pt idx="4">
                  <c:v>RESIDUI ATTIVI</c:v>
                </c:pt>
                <c:pt idx="5">
                  <c:v>RESIDUI PASSIVI</c:v>
                </c:pt>
                <c:pt idx="6">
                  <c:v>FPV SPESE CORRENTI</c:v>
                </c:pt>
                <c:pt idx="7">
                  <c:v>FPV SPESE CONTO CAPITALE</c:v>
                </c:pt>
                <c:pt idx="8">
                  <c:v>AVANZO DI AMMINISTRAZIONE</c:v>
                </c:pt>
              </c:strCache>
            </c:strRef>
          </c:cat>
          <c:val>
            <c:numRef>
              <c:f>Foglio1!$B$127:$B$135</c:f>
              <c:numCache>
                <c:formatCode>#,##0.00</c:formatCode>
                <c:ptCount val="9"/>
                <c:pt idx="0">
                  <c:v>5286080.51</c:v>
                </c:pt>
                <c:pt idx="1">
                  <c:v>5275626.32</c:v>
                </c:pt>
                <c:pt idx="2">
                  <c:v>-5317357.32</c:v>
                </c:pt>
                <c:pt idx="3">
                  <c:v>5244349.51</c:v>
                </c:pt>
                <c:pt idx="4">
                  <c:v>1114716</c:v>
                </c:pt>
                <c:pt idx="5">
                  <c:v>-969974.14</c:v>
                </c:pt>
                <c:pt idx="6">
                  <c:v>-158570.54999999999</c:v>
                </c:pt>
                <c:pt idx="7">
                  <c:v>-619782.24</c:v>
                </c:pt>
                <c:pt idx="8">
                  <c:v>4610738.58</c:v>
                </c:pt>
              </c:numCache>
            </c:numRef>
          </c:val>
        </c:ser>
        <c:gapWidth val="0"/>
        <c:axId val="149400960"/>
        <c:axId val="149443712"/>
      </c:barChart>
      <c:catAx>
        <c:axId val="149400960"/>
        <c:scaling>
          <c:orientation val="minMax"/>
        </c:scaling>
        <c:axPos val="b"/>
        <c:numFmt formatCode="General" sourceLinked="1"/>
        <c:majorTickMark val="none"/>
        <c:tickLblPos val="nextTo"/>
        <c:crossAx val="149443712"/>
        <c:crosses val="autoZero"/>
        <c:auto val="1"/>
        <c:lblAlgn val="ctr"/>
        <c:lblOffset val="100"/>
      </c:catAx>
      <c:valAx>
        <c:axId val="149443712"/>
        <c:scaling>
          <c:orientation val="minMax"/>
        </c:scaling>
        <c:axPos val="l"/>
        <c:numFmt formatCode="#,##0.00" sourceLinked="1"/>
        <c:tickLblPos val="nextTo"/>
        <c:crossAx val="14940096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CONSUNTIVO ANNO 2015</a:t>
            </a:r>
          </a:p>
          <a:p>
            <a:pPr>
              <a:defRPr/>
            </a:pPr>
            <a:r>
              <a:rPr lang="en-US"/>
              <a:t>CONTO ECONOMICO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Foglio1!$A$102:$A$108</c:f>
              <c:strCache>
                <c:ptCount val="1"/>
                <c:pt idx="0">
                  <c:v>PROVENTI DELLA GESTIONE COSTI DELLA GESTIONE RISULTATO DI GESTIONE PROVENTI/ONERI AZIENDE SPECIALI PROVENTI/ONERI FINANZIARI PROVENTI/ONERI STRORDINARI RISULTATO ECONOMICO</c:v>
                </c:pt>
              </c:strCache>
            </c:strRef>
          </c:tx>
          <c:cat>
            <c:strRef>
              <c:f>Foglio1!$A$102:$A$108</c:f>
              <c:strCache>
                <c:ptCount val="7"/>
                <c:pt idx="0">
                  <c:v>PROVENTI DELLA GESTIONE</c:v>
                </c:pt>
                <c:pt idx="1">
                  <c:v>COSTI DELLA GESTIONE</c:v>
                </c:pt>
                <c:pt idx="2">
                  <c:v>RISULTATO DI GESTIONE</c:v>
                </c:pt>
                <c:pt idx="3">
                  <c:v>PROVENTI/ONERI AZIENDE SPECIALI</c:v>
                </c:pt>
                <c:pt idx="4">
                  <c:v>PROVENTI/ONERI FINANZIARI</c:v>
                </c:pt>
                <c:pt idx="5">
                  <c:v>PROVENTI/ONERI STRORDINARI</c:v>
                </c:pt>
                <c:pt idx="6">
                  <c:v>RISULTATO ECONOMICO</c:v>
                </c:pt>
              </c:strCache>
            </c:strRef>
          </c:cat>
          <c:val>
            <c:numRef>
              <c:f>Foglio1!$B$102:$B$108</c:f>
              <c:numCache>
                <c:formatCode>#,##0.00</c:formatCode>
                <c:ptCount val="7"/>
                <c:pt idx="0">
                  <c:v>4216929.66</c:v>
                </c:pt>
                <c:pt idx="1">
                  <c:v>4782981.3499999996</c:v>
                </c:pt>
                <c:pt idx="2">
                  <c:v>-566051.68999999948</c:v>
                </c:pt>
                <c:pt idx="3">
                  <c:v>-19330</c:v>
                </c:pt>
                <c:pt idx="4">
                  <c:v>-68865.97</c:v>
                </c:pt>
                <c:pt idx="5">
                  <c:v>348046.48</c:v>
                </c:pt>
                <c:pt idx="6">
                  <c:v>-306201.17999999947</c:v>
                </c:pt>
              </c:numCache>
            </c:numRef>
          </c:val>
        </c:ser>
        <c:axId val="123720832"/>
        <c:axId val="123722752"/>
      </c:barChart>
      <c:catAx>
        <c:axId val="123720832"/>
        <c:scaling>
          <c:orientation val="minMax"/>
        </c:scaling>
        <c:axPos val="b"/>
        <c:numFmt formatCode="General" sourceLinked="1"/>
        <c:tickLblPos val="nextTo"/>
        <c:crossAx val="123722752"/>
        <c:crosses val="autoZero"/>
        <c:auto val="1"/>
        <c:lblAlgn val="ctr"/>
        <c:lblOffset val="100"/>
      </c:catAx>
      <c:valAx>
        <c:axId val="123722752"/>
        <c:scaling>
          <c:orientation val="minMax"/>
        </c:scaling>
        <c:axPos val="l"/>
        <c:majorGridlines/>
        <c:numFmt formatCode="#,##0.00" sourceLinked="1"/>
        <c:tickLblPos val="nextTo"/>
        <c:crossAx val="12372083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CONSUNTIVO ANNO 2015</a:t>
            </a:r>
          </a:p>
          <a:p>
            <a:pPr>
              <a:defRPr/>
            </a:pPr>
            <a:r>
              <a:rPr lang="en-US" baseline="0"/>
              <a:t>CONTO DEL PATRIMONIO ATTIVO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Foglio1!$A$57:$A$63</c:f>
              <c:strCache>
                <c:ptCount val="1"/>
                <c:pt idx="0">
                  <c:v>IMMOB.IMMATERIALI IMMOB.MATERIALI IMMOB.FINANZIARIE CREDITI DISP. LIQUIDE RATEI E RISCONTI TOTALE ATTIVO</c:v>
                </c:pt>
              </c:strCache>
            </c:strRef>
          </c:tx>
          <c:cat>
            <c:strRef>
              <c:f>Foglio1!$A$57:$A$63</c:f>
              <c:strCache>
                <c:ptCount val="7"/>
                <c:pt idx="0">
                  <c:v>IMMOB.IMMATERIALI</c:v>
                </c:pt>
                <c:pt idx="1">
                  <c:v>IMMOB.MATERIALI</c:v>
                </c:pt>
                <c:pt idx="2">
                  <c:v>IMMOB.FINANZIARIE</c:v>
                </c:pt>
                <c:pt idx="3">
                  <c:v>CREDITI</c:v>
                </c:pt>
                <c:pt idx="4">
                  <c:v>DISP. LIQUIDE</c:v>
                </c:pt>
                <c:pt idx="5">
                  <c:v>RATEI E RISCONTI</c:v>
                </c:pt>
                <c:pt idx="6">
                  <c:v>TOTALE ATTIVO</c:v>
                </c:pt>
              </c:strCache>
            </c:strRef>
          </c:cat>
          <c:val>
            <c:numRef>
              <c:f>Foglio1!$B$57:$B$63</c:f>
              <c:numCache>
                <c:formatCode>#,##0.00</c:formatCode>
                <c:ptCount val="7"/>
                <c:pt idx="0">
                  <c:v>0</c:v>
                </c:pt>
                <c:pt idx="1">
                  <c:v>24122589.129999999</c:v>
                </c:pt>
                <c:pt idx="2">
                  <c:v>45017.57</c:v>
                </c:pt>
                <c:pt idx="3">
                  <c:v>1114716</c:v>
                </c:pt>
                <c:pt idx="4">
                  <c:v>5244349.51</c:v>
                </c:pt>
                <c:pt idx="5">
                  <c:v>33134.050000000003</c:v>
                </c:pt>
                <c:pt idx="6">
                  <c:v>30559806.260000002</c:v>
                </c:pt>
              </c:numCache>
            </c:numRef>
          </c:val>
        </c:ser>
        <c:axId val="116393088"/>
        <c:axId val="116394624"/>
      </c:barChart>
      <c:catAx>
        <c:axId val="116393088"/>
        <c:scaling>
          <c:orientation val="minMax"/>
        </c:scaling>
        <c:axPos val="b"/>
        <c:tickLblPos val="nextTo"/>
        <c:crossAx val="116394624"/>
        <c:crosses val="autoZero"/>
        <c:auto val="1"/>
        <c:lblAlgn val="ctr"/>
        <c:lblOffset val="100"/>
      </c:catAx>
      <c:valAx>
        <c:axId val="116394624"/>
        <c:scaling>
          <c:orientation val="minMax"/>
        </c:scaling>
        <c:axPos val="l"/>
        <c:majorGridlines/>
        <c:numFmt formatCode="#,##0.00" sourceLinked="1"/>
        <c:tickLblPos val="nextTo"/>
        <c:crossAx val="11639308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CONSUNTIVO ANNO 2015</a:t>
            </a:r>
          </a:p>
          <a:p>
            <a:pPr>
              <a:defRPr/>
            </a:pPr>
            <a:r>
              <a:rPr lang="en-US"/>
              <a:t> CONTO DEL PATRIMONIO PASSIVO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Foglio1!$A$66:$A$72</c:f>
              <c:strCache>
                <c:ptCount val="1"/>
                <c:pt idx="0">
                  <c:v>PATRIMONIO NETTO CONFERIMENTI DEBITI DI FINANZIAMENTO DEBITI DI FUNZIONAMENTO ALTRI DEBITI RATEI E RISCONTI TOTALE PASSIVO</c:v>
                </c:pt>
              </c:strCache>
            </c:strRef>
          </c:tx>
          <c:cat>
            <c:strRef>
              <c:f>Foglio1!$A$66:$A$72</c:f>
              <c:strCache>
                <c:ptCount val="7"/>
                <c:pt idx="0">
                  <c:v>PATRIMONIO NETTO</c:v>
                </c:pt>
                <c:pt idx="1">
                  <c:v>CONFERIMENTI</c:v>
                </c:pt>
                <c:pt idx="2">
                  <c:v>DEBITI DI FINANZIAMENTO</c:v>
                </c:pt>
                <c:pt idx="3">
                  <c:v>DEBITI DI FUNZIONAMENTO</c:v>
                </c:pt>
                <c:pt idx="4">
                  <c:v>ALTRI DEBITI</c:v>
                </c:pt>
                <c:pt idx="5">
                  <c:v>RATEI E RISCONTI</c:v>
                </c:pt>
                <c:pt idx="6">
                  <c:v>TOTALE PASSIVO</c:v>
                </c:pt>
              </c:strCache>
            </c:strRef>
          </c:cat>
          <c:val>
            <c:numRef>
              <c:f>Foglio1!$B$66:$B$72</c:f>
              <c:numCache>
                <c:formatCode>#,##0.00</c:formatCode>
                <c:ptCount val="7"/>
                <c:pt idx="0">
                  <c:v>25283813.670000006</c:v>
                </c:pt>
                <c:pt idx="1">
                  <c:v>3180262.05</c:v>
                </c:pt>
                <c:pt idx="2">
                  <c:v>1161794.6900000002</c:v>
                </c:pt>
                <c:pt idx="3">
                  <c:v>488505.54</c:v>
                </c:pt>
                <c:pt idx="4">
                  <c:v>438367.41000000003</c:v>
                </c:pt>
                <c:pt idx="5">
                  <c:v>7062.9</c:v>
                </c:pt>
                <c:pt idx="6">
                  <c:v>30559806.260000002</c:v>
                </c:pt>
              </c:numCache>
            </c:numRef>
          </c:val>
        </c:ser>
        <c:axId val="116402048"/>
        <c:axId val="116403584"/>
      </c:barChart>
      <c:catAx>
        <c:axId val="116402048"/>
        <c:scaling>
          <c:orientation val="minMax"/>
        </c:scaling>
        <c:axPos val="b"/>
        <c:tickLblPos val="nextTo"/>
        <c:crossAx val="116403584"/>
        <c:crosses val="autoZero"/>
        <c:auto val="1"/>
        <c:lblAlgn val="ctr"/>
        <c:lblOffset val="100"/>
      </c:catAx>
      <c:valAx>
        <c:axId val="116403584"/>
        <c:scaling>
          <c:orientation val="minMax"/>
        </c:scaling>
        <c:axPos val="l"/>
        <c:majorGridlines/>
        <c:numFmt formatCode="#,##0.00" sourceLinked="1"/>
        <c:tickLblPos val="nextTo"/>
        <c:crossAx val="1164020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enrico.facchin</dc:creator>
  <cp:keywords/>
  <dc:description/>
  <cp:lastModifiedBy>enrico.facchin</cp:lastModifiedBy>
  <cp:revision>9</cp:revision>
  <cp:lastPrinted>2017-06-01T06:41:00Z</cp:lastPrinted>
  <dcterms:created xsi:type="dcterms:W3CDTF">2017-06-01T06:09:00Z</dcterms:created>
  <dcterms:modified xsi:type="dcterms:W3CDTF">2017-06-06T09:43:00Z</dcterms:modified>
</cp:coreProperties>
</file>